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2F2F2" w:themeColor="background1" w:themeShade="F2"/>
  <w:body>
    <w:p>
      <w:pPr>
        <w:spacing w:line="360" w:lineRule="auto"/>
        <w:jc w:val="center"/>
        <w:rPr>
          <w:rFonts w:hint="eastAsia" w:asciiTheme="minorEastAsia" w:hAnsiTheme="minorEastAsia" w:eastAsiaTheme="minorEastAsia" w:cstheme="minorEastAsia"/>
          <w:sz w:val="18"/>
          <w:szCs w:val="18"/>
        </w:rPr>
      </w:pPr>
      <w:r>
        <w:rPr>
          <w:rFonts w:hint="eastAsia" w:ascii="仿宋" w:hAnsi="仿宋" w:eastAsia="仿宋" w:cs="仿宋"/>
          <w:sz w:val="18"/>
          <w:szCs w:val="18"/>
          <w:lang w:eastAsia="zh-CN"/>
        </w:rPr>
        <w:t>产品使用说明书</w:t>
      </w:r>
    </w:p>
    <w:p>
      <w:pPr>
        <w:rPr>
          <w:rFonts w:hint="eastAsia" w:asciiTheme="minorEastAsia" w:hAnsiTheme="minorEastAsia" w:eastAsiaTheme="minorEastAsia" w:cstheme="minorEastAsia"/>
          <w:sz w:val="72"/>
          <w:szCs w:val="72"/>
          <w:lang w:val="en-US" w:eastAsia="zh-CN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sz w:val="72"/>
          <w:szCs w:val="72"/>
        </w:rPr>
      </w:pPr>
      <w:r>
        <w:rPr>
          <w:rFonts w:hint="eastAsia" w:asciiTheme="minorEastAsia" w:hAnsiTheme="minorEastAsia" w:eastAsiaTheme="minorEastAsia" w:cstheme="minorEastAsia"/>
          <w:sz w:val="72"/>
          <w:szCs w:val="72"/>
          <w:lang w:val="en-US" w:eastAsia="zh-CN"/>
        </w:rPr>
        <w:t>A</w:t>
      </w:r>
      <w:r>
        <w:rPr>
          <w:rFonts w:hint="eastAsia" w:asciiTheme="minorEastAsia" w:hAnsiTheme="minorEastAsia" w:eastAsiaTheme="minorEastAsia" w:cstheme="minorEastAsia"/>
          <w:sz w:val="72"/>
          <w:szCs w:val="72"/>
        </w:rPr>
        <w:t>QY球压试验装置</w:t>
      </w: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  <w:r>
        <w:rPr>
          <w:rFonts w:hint="eastAsia" w:asciiTheme="minorEastAsia" w:hAnsiTheme="minorEastAsia"/>
          <w:b/>
          <w:sz w:val="72"/>
          <w:szCs w:val="72"/>
        </w:rPr>
        <w:t>使</w:t>
      </w: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  <w:r>
        <w:rPr>
          <w:rFonts w:hint="eastAsia" w:asciiTheme="minorEastAsia" w:hAnsiTheme="minorEastAsia"/>
          <w:b/>
          <w:sz w:val="72"/>
          <w:szCs w:val="72"/>
        </w:rPr>
        <w:t>用</w:t>
      </w: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  <w:r>
        <w:rPr>
          <w:rFonts w:hint="eastAsia" w:asciiTheme="minorEastAsia" w:hAnsiTheme="minorEastAsia"/>
          <w:b/>
          <w:sz w:val="72"/>
          <w:szCs w:val="72"/>
        </w:rPr>
        <w:t>说</w:t>
      </w: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  <w:r>
        <w:rPr>
          <w:rFonts w:hint="eastAsia" w:asciiTheme="minorEastAsia" w:hAnsiTheme="minorEastAsia"/>
          <w:b/>
          <w:sz w:val="72"/>
          <w:szCs w:val="72"/>
        </w:rPr>
        <w:t>明</w:t>
      </w: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</w:p>
    <w:p>
      <w:pPr>
        <w:jc w:val="center"/>
        <w:rPr>
          <w:rFonts w:asciiTheme="minorEastAsia" w:hAnsiTheme="minorEastAsia"/>
          <w:b/>
          <w:sz w:val="72"/>
          <w:szCs w:val="72"/>
        </w:rPr>
      </w:pPr>
      <w:r>
        <w:rPr>
          <w:rFonts w:hint="eastAsia" w:asciiTheme="minorEastAsia" w:hAnsiTheme="minorEastAsia"/>
          <w:b/>
          <w:sz w:val="72"/>
          <w:szCs w:val="72"/>
        </w:rPr>
        <w:t>书</w:t>
      </w:r>
    </w:p>
    <w:p>
      <w:pPr>
        <w:jc w:val="center"/>
        <w:rPr>
          <w:rFonts w:hint="eastAsia" w:asciiTheme="minorEastAsia" w:hAnsiTheme="minorEastAsia" w:eastAsiaTheme="minorEastAsia" w:cstheme="minorEastAsia"/>
          <w:sz w:val="72"/>
          <w:szCs w:val="72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sz w:val="72"/>
          <w:szCs w:val="72"/>
        </w:rPr>
      </w:pPr>
    </w:p>
    <w:p>
      <w:pPr>
        <w:adjustRightInd w:val="0"/>
        <w:snapToGrid w:val="0"/>
        <w:spacing w:line="360" w:lineRule="auto"/>
        <w:rPr>
          <w:rFonts w:hint="eastAsia" w:ascii="宋体"/>
          <w:b/>
          <w:szCs w:val="21"/>
        </w:rPr>
      </w:pPr>
    </w:p>
    <w:p>
      <w:pPr>
        <w:adjustRightInd w:val="0"/>
        <w:snapToGrid w:val="0"/>
        <w:spacing w:line="360" w:lineRule="auto"/>
        <w:rPr>
          <w:rFonts w:hint="eastAsia" w:ascii="宋体"/>
          <w:b/>
          <w:szCs w:val="21"/>
        </w:rPr>
      </w:pPr>
    </w:p>
    <w:p>
      <w:pPr>
        <w:spacing w:line="360" w:lineRule="auto"/>
        <w:jc w:val="center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="仿宋" w:hAnsi="仿宋" w:eastAsia="仿宋" w:cs="仿宋"/>
          <w:sz w:val="18"/>
          <w:szCs w:val="18"/>
          <w:lang w:eastAsia="zh-CN"/>
        </w:rPr>
        <w:t>产品使用说明书</w:t>
      </w:r>
    </w:p>
    <w:p>
      <w:pPr>
        <w:adjustRightInd w:val="0"/>
        <w:snapToGrid w:val="0"/>
        <w:spacing w:line="360" w:lineRule="auto"/>
        <w:rPr>
          <w:rFonts w:hint="eastAsia" w:ascii="宋体"/>
          <w:b/>
          <w:szCs w:val="21"/>
        </w:rPr>
      </w:pPr>
    </w:p>
    <w:p>
      <w:pPr>
        <w:adjustRightInd w:val="0"/>
        <w:snapToGrid w:val="0"/>
        <w:spacing w:line="360" w:lineRule="auto"/>
      </w:pPr>
      <w:r>
        <w:drawing>
          <wp:inline distT="0" distB="0" distL="114300" distR="114300">
            <wp:extent cx="4390390" cy="2752090"/>
            <wp:effectExtent l="0" t="0" r="10160" b="1016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90390" cy="27520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="宋体"/>
          <w:b/>
          <w:sz w:val="24"/>
          <w:szCs w:val="24"/>
        </w:rPr>
        <w:t>一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、用途</w:t>
      </w:r>
    </w:p>
    <w:p>
      <w:pPr>
        <w:adjustRightInd w:val="0"/>
        <w:snapToGrid w:val="0"/>
        <w:spacing w:line="360" w:lineRule="auto"/>
        <w:ind w:firstLine="420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本试验装置是根据GB2099等标准中规定的“球压试验”的要求而设计，主要用于对家用和类似用途插头插座产品进行耐热测试，是有关生产厂家和质检部门进行产品质量检测和控制所必须的设备。</w:t>
      </w:r>
    </w:p>
    <w:p>
      <w:pPr>
        <w:adjustRightInd w:val="0"/>
        <w:snapToGrid w:val="0"/>
        <w:spacing w:line="360" w:lineRule="auto"/>
        <w:ind w:firstLine="420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adjustRightInd w:val="0"/>
        <w:snapToGrid w:val="0"/>
        <w:spacing w:line="360" w:lineRule="auto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二、技术参数：</w:t>
      </w:r>
    </w:p>
    <w:p>
      <w:pPr>
        <w:adjustRightInd w:val="0"/>
        <w:snapToGrid w:val="0"/>
        <w:spacing w:line="360" w:lineRule="auto"/>
        <w:ind w:firstLine="630" w:firstLineChars="300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1.球直径5mm（R2.5mm）</w:t>
      </w:r>
    </w:p>
    <w:p>
      <w:pPr>
        <w:adjustRightInd w:val="0"/>
        <w:snapToGrid w:val="0"/>
        <w:spacing w:line="360" w:lineRule="auto"/>
        <w:ind w:firstLine="630" w:firstLineChars="300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2.总试验压力：20N±0.2N</w:t>
      </w:r>
    </w:p>
    <w:p>
      <w:pPr>
        <w:adjustRightInd w:val="0"/>
        <w:snapToGrid w:val="0"/>
        <w:spacing w:line="360" w:lineRule="auto"/>
        <w:ind w:firstLine="630" w:firstLineChars="300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3.样品支座：直径50mm、长度100mm实心不锈钢圆柱体</w:t>
      </w:r>
    </w:p>
    <w:p>
      <w:pPr>
        <w:adjustRightInd w:val="0"/>
        <w:snapToGrid w:val="0"/>
        <w:spacing w:line="360" w:lineRule="auto"/>
        <w:ind w:firstLine="630" w:firstLineChars="300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4.制作材料：全部采用不锈钢材料</w:t>
      </w:r>
    </w:p>
    <w:p>
      <w:pPr>
        <w:adjustRightInd w:val="0"/>
        <w:snapToGrid w:val="0"/>
        <w:spacing w:line="360" w:lineRule="auto"/>
        <w:ind w:firstLine="630" w:firstLineChars="300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5.参照标准：GB4706.1-2005、GB2099.1-2008、GB/T5159.21-2006、IEC60695-10-2:2003</w:t>
      </w:r>
    </w:p>
    <w:p>
      <w:pPr>
        <w:adjustRightInd w:val="0"/>
        <w:snapToGrid w:val="0"/>
        <w:spacing w:line="360" w:lineRule="auto"/>
        <w:ind w:firstLine="630" w:firstLineChars="300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备注：球压试验仪另需要个高温箱（烤箱）配套使用</w:t>
      </w:r>
    </w:p>
    <w:p>
      <w:pPr>
        <w:jc w:val="both"/>
        <w:rPr>
          <w:rFonts w:hint="eastAsia" w:asciiTheme="minorEastAsia" w:hAnsiTheme="minorEastAsia" w:eastAsiaTheme="minorEastAsia" w:cstheme="minorEastAsia"/>
          <w:b/>
          <w:sz w:val="30"/>
          <w:szCs w:val="30"/>
        </w:rPr>
      </w:pPr>
    </w:p>
    <w:p>
      <w:pPr>
        <w:adjustRightInd w:val="0"/>
        <w:snapToGrid w:val="0"/>
        <w:spacing w:line="360" w:lineRule="auto"/>
        <w:rPr>
          <w:rFonts w:hint="eastAsia" w:asciiTheme="minorEastAsia" w:hAnsiTheme="minorEastAsia" w:eastAsiaTheme="minorEastAsia" w:cstheme="minorEastAsia"/>
          <w:b/>
          <w:sz w:val="30"/>
          <w:szCs w:val="30"/>
        </w:rPr>
      </w:pPr>
    </w:p>
    <w:p>
      <w:pPr>
        <w:adjustRightInd w:val="0"/>
        <w:snapToGrid w:val="0"/>
        <w:spacing w:line="360" w:lineRule="auto"/>
        <w:rPr>
          <w:rFonts w:hint="eastAsia" w:asciiTheme="minorEastAsia" w:hAnsiTheme="minorEastAsia" w:eastAsiaTheme="minorEastAsia" w:cstheme="minorEastAsia"/>
          <w:b/>
          <w:sz w:val="30"/>
          <w:szCs w:val="30"/>
        </w:rPr>
      </w:pPr>
    </w:p>
    <w:p>
      <w:pPr>
        <w:adjustRightInd w:val="0"/>
        <w:snapToGrid w:val="0"/>
        <w:spacing w:line="360" w:lineRule="auto"/>
        <w:rPr>
          <w:rFonts w:hint="eastAsia" w:asciiTheme="minorEastAsia" w:hAnsiTheme="minorEastAsia" w:eastAsiaTheme="minorEastAsia" w:cstheme="minorEastAsia"/>
          <w:b/>
          <w:sz w:val="30"/>
          <w:szCs w:val="30"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产品使用说明书</w:t>
      </w:r>
    </w:p>
    <w:p>
      <w:pPr>
        <w:adjustRightInd w:val="0"/>
        <w:snapToGrid w:val="0"/>
        <w:spacing w:line="360" w:lineRule="auto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三、使用方法</w:t>
      </w:r>
    </w:p>
    <w:p>
      <w:pPr>
        <w:adjustRightInd w:val="0"/>
        <w:snapToGrid w:val="0"/>
        <w:spacing w:line="360" w:lineRule="auto"/>
        <w:ind w:firstLine="420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球压试验是将钢球（R2.5mm）和总试验20N±0.2N的球压试验仪，压在呈水准状态且置于加热箱内的试品表面上，在试品规定的温度下经60min+2min/0min后，将试品快速（＜10s）侵入20℃±5℃水中冷却6min,从水中取出3min内测量试品表面压痕直径，视压痕直径是否超过2mm来评定试品在该规定的温度下的耐热变形能力</w:t>
      </w:r>
    </w:p>
    <w:p>
      <w:pPr>
        <w:jc w:val="both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按试验要求先将球压试验装置放在加热箱内足够长的时间，以确保试验开始之前，球压试验装置已经达到稳定的试验温度。</w:t>
      </w:r>
    </w:p>
    <w:p>
      <w:pPr>
        <w:numPr>
          <w:ilvl w:val="0"/>
          <w:numId w:val="1"/>
        </w:numPr>
        <w:adjustRightInd w:val="0"/>
        <w:spacing w:line="360" w:lineRule="auto"/>
        <w:textAlignment w:val="baseline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将被试部件放置在支承座上，使之与支承座直接接触。</w:t>
      </w:r>
    </w:p>
    <w:p>
      <w:pPr>
        <w:numPr>
          <w:ilvl w:val="0"/>
          <w:numId w:val="2"/>
        </w:numPr>
        <w:adjustRightInd w:val="0"/>
        <w:spacing w:line="360" w:lineRule="auto"/>
        <w:jc w:val="left"/>
        <w:textAlignment w:val="baseline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将被试部件的表面置于水平位置，将钢球压住该表面（见下图）。试验要在标准规定温度的加热箱内进行。</w:t>
      </w:r>
    </w:p>
    <w:p>
      <w:pPr>
        <w:numPr>
          <w:ilvl w:val="0"/>
          <w:numId w:val="3"/>
        </w:numPr>
        <w:adjustRightInd w:val="0"/>
        <w:spacing w:line="360" w:lineRule="auto"/>
        <w:jc w:val="left"/>
        <w:textAlignment w:val="baseline"/>
        <w:rPr>
          <w:rFonts w:hint="eastAsia" w:asciiTheme="minorEastAsia" w:hAnsiTheme="minorEastAsia" w:eastAsia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试验达到标准规定的时间之后，将球从试样上卸下，按标准规定的要求冷却之后，测出钢球压痕的直径，判定是否合格。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四、维护保养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本装置用过之后擦拭干净，放在室内干燥、无尘的地方。</w:t>
      </w:r>
    </w:p>
    <w:p>
      <w:pPr>
        <w:spacing w:line="360" w:lineRule="auto"/>
        <w:jc w:val="center"/>
      </w:pPr>
    </w:p>
    <w:p>
      <w:pPr>
        <w:spacing w:line="360" w:lineRule="auto"/>
        <w:jc w:val="center"/>
      </w:pPr>
    </w:p>
    <w:p>
      <w:pPr>
        <w:spacing w:line="360" w:lineRule="auto"/>
        <w:jc w:val="both"/>
      </w:pPr>
    </w:p>
    <w:p>
      <w:pPr>
        <w:spacing w:line="360" w:lineRule="auto"/>
        <w:jc w:val="center"/>
      </w:pPr>
    </w:p>
    <w:p>
      <w:pPr>
        <w:spacing w:line="360" w:lineRule="auto"/>
        <w:jc w:val="center"/>
      </w:pPr>
      <w:r>
        <w:drawing>
          <wp:inline distT="0" distB="0" distL="114300" distR="114300">
            <wp:extent cx="4265930" cy="2770505"/>
            <wp:effectExtent l="0" t="0" r="1270" b="10795"/>
            <wp:docPr id="1" name="图片 1" descr="球压仪-Mod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球压仪-Model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65930" cy="27705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</w:pPr>
    </w:p>
    <w:p>
      <w:pPr>
        <w:spacing w:line="360" w:lineRule="auto"/>
        <w:jc w:val="center"/>
        <w:rPr>
          <w:rFonts w:hint="eastAsia"/>
        </w:rPr>
      </w:pPr>
    </w:p>
    <w:p>
      <w:pPr>
        <w:jc w:val="both"/>
        <w:rPr>
          <w:rFonts w:hint="eastAsia" w:ascii="宋体"/>
          <w:szCs w:val="21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dotted" w:color="auto" w:sz="4" w:space="1"/>
        <w:left w:val="dotted" w:color="auto" w:sz="4" w:space="4"/>
        <w:bottom w:val="dotted" w:color="auto" w:sz="4" w:space="1"/>
        <w:right w:val="dotted" w:color="auto" w:sz="4" w:space="4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Georgia">
    <w:panose1 w:val="02040502050405090303"/>
    <w:charset w:val="00"/>
    <w:family w:val="roman"/>
    <w:pitch w:val="default"/>
    <w:sig w:usb0="00000287" w:usb1="00000000" w:usb2="00000000" w:usb3="00000000" w:csb0="2000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兮妞-中黑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创艺繁琥珀">
    <w:altName w:val="宋体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MS UI Gothic">
    <w:panose1 w:val="020B0600070205080204"/>
    <w:charset w:val="80"/>
    <w:family w:val="swiss"/>
    <w:pitch w:val="default"/>
    <w:sig w:usb0="E00002FF" w:usb1="6AC7FDFB" w:usb2="00000012" w:usb3="00000000" w:csb0="4002009F" w:csb1="DFD7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XHei iOS">
    <w:altName w:val="宋体"/>
    <w:panose1 w:val="02010600030101010101"/>
    <w:charset w:val="86"/>
    <w:family w:val="auto"/>
    <w:pitch w:val="default"/>
    <w:sig w:usb0="00000000" w:usb1="00000000" w:usb2="00000016" w:usb3="00000000" w:csb0="601E018F" w:csb1="FFFF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hint="eastAsia" w:eastAsiaTheme="minorEastAsia"/>
        <w:lang w:eastAsia="zh-CN"/>
      </w:rPr>
    </w:pPr>
    <w:r>
      <w:rPr>
        <w:rFonts w:hint="eastAsia"/>
        <w:lang w:eastAsia="zh-CN"/>
      </w:rPr>
      <w:t>一鼎仪器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hint="eastAsia" w:ascii="华文行楷" w:hAnsi="华文行楷" w:eastAsia="华文行楷" w:cs="华文行楷"/>
        <w:lang w:eastAsia="zh-CN"/>
      </w:rPr>
    </w:pPr>
    <w:bookmarkStart w:id="0" w:name="_GoBack"/>
    <w:r>
      <w:rPr>
        <w:rFonts w:hint="eastAsia" w:ascii="华文行楷" w:hAnsi="华文行楷" w:eastAsia="华文行楷" w:cs="华文行楷"/>
        <w:lang w:eastAsia="zh-CN"/>
      </w:rPr>
      <w:t>温州一鼎仪器制造有限公司</w:t>
    </w:r>
  </w:p>
  <w:bookmarkEnd w:id="0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singleLevel"/>
    <w:tmpl w:val="00000000"/>
    <w:lvl w:ilvl="0" w:tentative="0">
      <w:start w:val="1"/>
      <w:numFmt w:val="decimal"/>
      <w:lvlText w:val="%1."/>
      <w:legacy w:legacy="1" w:legacySpace="0" w:legacyIndent="425"/>
      <w:lvlJc w:val="left"/>
      <w:pPr>
        <w:ind w:left="1001" w:hanging="425"/>
      </w:pPr>
    </w:lvl>
  </w:abstractNum>
  <w:abstractNum w:abstractNumId="1">
    <w:nsid w:val="00000002"/>
    <w:multiLevelType w:val="singleLevel"/>
    <w:tmpl w:val="00000002"/>
    <w:lvl w:ilvl="0" w:tentative="0">
      <w:start w:val="1"/>
      <w:numFmt w:val="decimal"/>
      <w:lvlText w:val="%1."/>
      <w:legacy w:legacy="1" w:legacySpace="0" w:legacyIndent="425"/>
      <w:lvlJc w:val="left"/>
      <w:pPr>
        <w:ind w:left="1001" w:hanging="425"/>
      </w:pPr>
    </w:lvl>
  </w:abstractNum>
  <w:abstractNum w:abstractNumId="2">
    <w:nsid w:val="00000003"/>
    <w:multiLevelType w:val="singleLevel"/>
    <w:tmpl w:val="00000003"/>
    <w:lvl w:ilvl="0" w:tentative="0">
      <w:start w:val="1"/>
      <w:numFmt w:val="decimal"/>
      <w:lvlText w:val="%1."/>
      <w:legacy w:legacy="1" w:legacySpace="0" w:legacyIndent="425"/>
      <w:lvlJc w:val="left"/>
      <w:pPr>
        <w:ind w:left="1001" w:hanging="425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1663E5"/>
    <w:rsid w:val="0E4850E9"/>
    <w:rsid w:val="161663E5"/>
    <w:rsid w:val="197F5AF2"/>
    <w:rsid w:val="2B673CFF"/>
    <w:rsid w:val="522A6E43"/>
    <w:rsid w:val="654D58D0"/>
    <w:rsid w:val="65F24CAB"/>
    <w:rsid w:val="6FF049EC"/>
    <w:rsid w:val="73DB7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2018-03-06T01:46:00Z</dcterms:created>
  <dc:creator>Administrator</dc:creator>
  <cp:lastModifiedBy>Administrator</cp:lastModifiedBy>
  <dcterms:modified xsi:type="dcterms:W3CDTF">2018-03-09T03:12:11Z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